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AF1" w:rsidRPr="00276AF1" w:rsidRDefault="00276AF1" w:rsidP="0027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76AF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  <w:t>PREGãO</w:t>
      </w:r>
      <w:proofErr w:type="spellEnd"/>
      <w:r w:rsidRPr="00276AF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  <w:t xml:space="preserve"> </w:t>
      </w:r>
      <w:proofErr w:type="spellStart"/>
      <w:r w:rsidRPr="00276AF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  <w:t>ELETRôNICO</w:t>
      </w:r>
      <w:proofErr w:type="spellEnd"/>
      <w:r w:rsidRPr="00276AF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  <w:t xml:space="preserve"> Nº 006/2015</w:t>
      </w:r>
      <w:r w:rsidRPr="00276AF1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pt-BR"/>
        </w:rPr>
        <w:t> - CANCELADO</w:t>
      </w:r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br/>
      </w:r>
    </w:p>
    <w:p w:rsidR="00276AF1" w:rsidRPr="00276AF1" w:rsidRDefault="00276AF1" w:rsidP="00276AF1">
      <w:pPr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FORMAçãO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DE REGISTRO DE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PREçOS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PARA EVENTUAL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CONTRATAçãO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DE EMPRESA ESPECIALIZADA NO FORNECIMENTO DE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SOLUçãO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INTEGRADA DE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SERVIçOS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DE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TELECOMUNICAçõES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ENGLOBANDO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SERVIçO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TELEFôNICO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FIXO COMUTADO (STFC) NAS MODALIDADES LOCAL, LONGA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DISTâNCIA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E LONGA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DISTâNCIA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INTERNACIONAL,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SERVIçO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MóVEL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PESSOAL (SMP) COM ACESSO GPRS/EDGE/3G E CONTROLE DE GASTOS,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ALéM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DE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AQUISIçãO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DE APARELHOS CELULARES, CONFORME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ESPECIFICAçõES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 xml:space="preserve"> E QUANTITATIVOS CONSTANTES NO EDITAL E NO TERMO DE </w:t>
      </w:r>
      <w:proofErr w:type="spellStart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REFERêNCIA</w:t>
      </w:r>
      <w:proofErr w:type="spellEnd"/>
      <w:r w:rsidRPr="00276AF1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.</w:t>
      </w:r>
    </w:p>
    <w:p w:rsidR="00276AF1" w:rsidRP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hyperlink r:id="rId5" w:tooltip="RELATóRIO DE COTAçãO" w:history="1">
        <w:proofErr w:type="spellStart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RELATóRIO</w:t>
        </w:r>
        <w:proofErr w:type="spellEnd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 xml:space="preserve"> DE </w:t>
        </w:r>
        <w:proofErr w:type="spellStart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COTAçãO</w:t>
        </w:r>
        <w:proofErr w:type="spellEnd"/>
      </w:hyperlink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 w:rsidRPr="00276AF1"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  <w:drawing>
          <wp:inline distT="0" distB="0" distL="0" distR="0" wp14:anchorId="53DBC4E7" wp14:editId="5D32E92D">
            <wp:extent cx="5400040" cy="30372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 w:rsidRPr="00276AF1"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  <w:drawing>
          <wp:inline distT="0" distB="0" distL="0" distR="0" wp14:anchorId="1355ACE1" wp14:editId="7ADA99B8">
            <wp:extent cx="5400040" cy="13081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hyperlink r:id="rId8" w:tooltip="DESPACHO-REVOGAçãO" w:history="1"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 DESPACHO-</w:t>
        </w:r>
        <w:proofErr w:type="spellStart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REVOGAçãO</w:t>
        </w:r>
        <w:proofErr w:type="spellEnd"/>
      </w:hyperlink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 w:rsidRPr="00276AF1"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  <w:drawing>
          <wp:inline distT="0" distB="0" distL="0" distR="0" wp14:anchorId="1A5BF62B" wp14:editId="54D54A00">
            <wp:extent cx="5400040" cy="30346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 w:rsidRPr="00276AF1"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  <w:drawing>
          <wp:inline distT="0" distB="0" distL="0" distR="0" wp14:anchorId="14090523" wp14:editId="367748FD">
            <wp:extent cx="5400040" cy="118300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P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hyperlink r:id="rId11" w:tooltip="AVISO DE REVOGAçãO DOU" w:history="1"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 xml:space="preserve">AVISO DE </w:t>
        </w:r>
        <w:proofErr w:type="spellStart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REVOGAçãO</w:t>
        </w:r>
        <w:proofErr w:type="spellEnd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 xml:space="preserve"> DOU</w:t>
        </w:r>
      </w:hyperlink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 w:rsidRPr="00276AF1"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  <w:drawing>
          <wp:inline distT="0" distB="0" distL="0" distR="0" wp14:anchorId="062232A1" wp14:editId="77825A67">
            <wp:extent cx="5400040" cy="303466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 w:rsidRPr="00276AF1"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  <w:drawing>
          <wp:inline distT="0" distB="0" distL="0" distR="0" wp14:anchorId="3AE8F051" wp14:editId="5B609186">
            <wp:extent cx="5400040" cy="1214120"/>
            <wp:effectExtent l="0" t="0" r="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Pr="00276AF1" w:rsidRDefault="00276AF1" w:rsidP="00276AF1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276AF1" w:rsidRPr="00276AF1" w:rsidRDefault="00276AF1" w:rsidP="00276AF1">
      <w:pPr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hyperlink r:id="rId14" w:tooltip="AVISO DE REVOGAçãO TCE" w:history="1"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 xml:space="preserve"> AVISO DE </w:t>
        </w:r>
        <w:proofErr w:type="spellStart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REVOGAçãO</w:t>
        </w:r>
        <w:proofErr w:type="spellEnd"/>
        <w:r w:rsidRPr="00276AF1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 xml:space="preserve"> TCE</w:t>
        </w:r>
      </w:hyperlink>
    </w:p>
    <w:p w:rsidR="00B2311D" w:rsidRDefault="00276AF1">
      <w:r w:rsidRPr="00276AF1">
        <w:drawing>
          <wp:anchor distT="0" distB="0" distL="114300" distR="114300" simplePos="0" relativeHeight="251658240" behindDoc="0" locked="0" layoutInCell="1" allowOverlap="1" wp14:anchorId="2E2E45CD">
            <wp:simplePos x="0" y="0"/>
            <wp:positionH relativeFrom="column">
              <wp:posOffset>15240</wp:posOffset>
            </wp:positionH>
            <wp:positionV relativeFrom="paragraph">
              <wp:posOffset>3667760</wp:posOffset>
            </wp:positionV>
            <wp:extent cx="5400040" cy="129730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AF1">
        <w:drawing>
          <wp:inline distT="0" distB="0" distL="0" distR="0" wp14:anchorId="5F700A6A" wp14:editId="7DADAAAD">
            <wp:extent cx="5400040" cy="30372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88D"/>
    <w:multiLevelType w:val="multilevel"/>
    <w:tmpl w:val="238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42745"/>
    <w:multiLevelType w:val="multilevel"/>
    <w:tmpl w:val="8A76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72C74"/>
    <w:multiLevelType w:val="multilevel"/>
    <w:tmpl w:val="4772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40EC8"/>
    <w:multiLevelType w:val="multilevel"/>
    <w:tmpl w:val="97A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B3AEF"/>
    <w:multiLevelType w:val="multilevel"/>
    <w:tmpl w:val="4BA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76087"/>
    <w:multiLevelType w:val="multilevel"/>
    <w:tmpl w:val="B5BC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3450C"/>
    <w:multiLevelType w:val="multilevel"/>
    <w:tmpl w:val="5EF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D58C2"/>
    <w:multiLevelType w:val="multilevel"/>
    <w:tmpl w:val="8B8C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90310"/>
    <w:multiLevelType w:val="multilevel"/>
    <w:tmpl w:val="59F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D61AD"/>
    <w:multiLevelType w:val="multilevel"/>
    <w:tmpl w:val="EDE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41DA7"/>
    <w:multiLevelType w:val="multilevel"/>
    <w:tmpl w:val="6DB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84F45"/>
    <w:multiLevelType w:val="multilevel"/>
    <w:tmpl w:val="7BE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D1172"/>
    <w:multiLevelType w:val="multilevel"/>
    <w:tmpl w:val="ED4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553F5"/>
    <w:multiLevelType w:val="multilevel"/>
    <w:tmpl w:val="6228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84056">
    <w:abstractNumId w:val="5"/>
  </w:num>
  <w:num w:numId="2" w16cid:durableId="330960155">
    <w:abstractNumId w:val="1"/>
  </w:num>
  <w:num w:numId="3" w16cid:durableId="1964117263">
    <w:abstractNumId w:val="13"/>
  </w:num>
  <w:num w:numId="4" w16cid:durableId="985283544">
    <w:abstractNumId w:val="4"/>
  </w:num>
  <w:num w:numId="5" w16cid:durableId="277419156">
    <w:abstractNumId w:val="2"/>
  </w:num>
  <w:num w:numId="6" w16cid:durableId="696390665">
    <w:abstractNumId w:val="6"/>
  </w:num>
  <w:num w:numId="7" w16cid:durableId="1307397666">
    <w:abstractNumId w:val="11"/>
  </w:num>
  <w:num w:numId="8" w16cid:durableId="771627728">
    <w:abstractNumId w:val="10"/>
  </w:num>
  <w:num w:numId="9" w16cid:durableId="1723870321">
    <w:abstractNumId w:val="9"/>
  </w:num>
  <w:num w:numId="10" w16cid:durableId="655039974">
    <w:abstractNumId w:val="7"/>
  </w:num>
  <w:num w:numId="11" w16cid:durableId="818034136">
    <w:abstractNumId w:val="12"/>
  </w:num>
  <w:num w:numId="12" w16cid:durableId="1306203996">
    <w:abstractNumId w:val="0"/>
  </w:num>
  <w:num w:numId="13" w16cid:durableId="1513908198">
    <w:abstractNumId w:val="3"/>
  </w:num>
  <w:num w:numId="14" w16cid:durableId="771896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F1"/>
    <w:rsid w:val="00276AF1"/>
    <w:rsid w:val="00B2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FD16"/>
  <w15:chartTrackingRefBased/>
  <w15:docId w15:val="{A12950BB-5E25-4094-A370-6DBADD5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AF1"/>
    <w:rPr>
      <w:b/>
      <w:bCs/>
    </w:rPr>
  </w:style>
  <w:style w:type="paragraph" w:customStyle="1" w:styleId="subtitulo">
    <w:name w:val="subtitulo"/>
    <w:basedOn w:val="Normal"/>
    <w:rsid w:val="0027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76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pb.def.br/transparencia/Licitacao/606/66-11.Despacho-de-Revoga%C3%A7%C3%A3o.pdf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efensoria.pb.def.br/transparencia/Licitacao/606/91-12.Publica%C3%A7%C3%A3o%20DOU-Aviso%20de%20Revoga%C3%A7%C3%A3o.pdf" TargetMode="External"/><Relationship Id="rId5" Type="http://schemas.openxmlformats.org/officeDocument/2006/relationships/hyperlink" Target="http://www.defensoria.pb.def.br/transparencia/Licitacao/606/50-03-Relatorio-de-Cota%C3%A7%C3%A3o-Telefonia.pdf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efensoria.pb.def.br/transparencia/Licitacao/606/77-13-Aviso-de-Revoga%C3%A7%C3%A3o-TC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Corporativo</dc:creator>
  <cp:keywords/>
  <dc:description/>
  <cp:lastModifiedBy>Corporativo</cp:lastModifiedBy>
  <cp:revision>2</cp:revision>
  <dcterms:created xsi:type="dcterms:W3CDTF">2022-12-22T12:49:00Z</dcterms:created>
  <dcterms:modified xsi:type="dcterms:W3CDTF">2022-12-22T12:53:00Z</dcterms:modified>
</cp:coreProperties>
</file>